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51E6" w:rsidRDefault="00C118D6" w:rsidP="007551E6">
      <w:pPr>
        <w:outlineLvl w:val="0"/>
        <w:rPr>
          <w:rFonts w:ascii="Arial" w:hAnsi="Arial" w:cs="Arial"/>
        </w:rPr>
      </w:pPr>
      <w:r>
        <w:rPr>
          <w:rFonts w:ascii="Arial" w:hAnsi="Arial" w:cs="Arial"/>
          <w:noProof/>
          <w:color w:val="1A0DAB"/>
          <w:sz w:val="20"/>
          <w:szCs w:val="20"/>
          <w:lang w:val="en-CA" w:eastAsia="en-CA"/>
        </w:rPr>
        <w:drawing>
          <wp:inline distT="0" distB="0" distL="0" distR="0">
            <wp:extent cx="999744" cy="545065"/>
            <wp:effectExtent l="0" t="0" r="0" b="7620"/>
            <wp:docPr id="1" name="Picture 1" descr="https://encrypted-tbn1.gstatic.com/images?q=tbn:ANd9GcS0FemXAyqdl5M3JD1a1faSbH_FQfXpGtATERIvoDs0IJYPoS1C-QmvRpY">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1.gstatic.com/images?q=tbn:ANd9GcS0FemXAyqdl5M3JD1a1faSbH_FQfXpGtATERIvoDs0IJYPoS1C-QmvRpY">
                      <a:hlinkClick r:id="rId8"/>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4270" cy="547533"/>
                    </a:xfrm>
                    <a:prstGeom prst="rect">
                      <a:avLst/>
                    </a:prstGeom>
                    <a:noFill/>
                    <a:ln>
                      <a:noFill/>
                    </a:ln>
                  </pic:spPr>
                </pic:pic>
              </a:graphicData>
            </a:graphic>
          </wp:inline>
        </w:drawing>
      </w:r>
      <w:r>
        <w:rPr>
          <w:rFonts w:ascii="Arial" w:hAnsi="Arial" w:cs="Arial"/>
          <w:noProof/>
          <w:color w:val="1A0DAB"/>
          <w:sz w:val="20"/>
          <w:szCs w:val="20"/>
          <w:lang w:val="en-CA" w:eastAsia="en-CA"/>
        </w:rPr>
        <w:drawing>
          <wp:inline distT="0" distB="0" distL="0" distR="0">
            <wp:extent cx="759910" cy="591312"/>
            <wp:effectExtent l="0" t="0" r="2540" b="0"/>
            <wp:docPr id="2" name="Picture 2" descr="https://encrypted-tbn3.gstatic.com/images?q=tbn:ANd9GcRaLd51yBhTQp9WWFHxSFxtFK-lGbUFHpcMrpBWcxOnQ-Tx3OGyRvbTOc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aLd51yBhTQp9WWFHxSFxtFK-lGbUFHpcMrpBWcxOnQ-Tx3OGyRvbTOck">
                      <a:hlinkClick r:id="rId10"/>
                    </pic:cNvPr>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0162" cy="591508"/>
                    </a:xfrm>
                    <a:prstGeom prst="rect">
                      <a:avLst/>
                    </a:prstGeom>
                    <a:noFill/>
                    <a:ln>
                      <a:noFill/>
                    </a:ln>
                  </pic:spPr>
                </pic:pic>
              </a:graphicData>
            </a:graphic>
          </wp:inline>
        </w:drawing>
      </w:r>
    </w:p>
    <w:p w:rsidR="00C70701" w:rsidRDefault="00C70701" w:rsidP="007551E6">
      <w:pPr>
        <w:outlineLvl w:val="0"/>
        <w:rPr>
          <w:rFonts w:ascii="Arial" w:hAnsi="Arial" w:cs="Arial"/>
        </w:rPr>
      </w:pPr>
    </w:p>
    <w:tbl>
      <w:tblPr>
        <w:tblStyle w:val="TableGrid"/>
        <w:tblW w:w="0" w:type="auto"/>
        <w:tblLook w:val="04A0"/>
      </w:tblPr>
      <w:tblGrid>
        <w:gridCol w:w="11016"/>
      </w:tblGrid>
      <w:tr w:rsidR="005A2031" w:rsidRPr="00641906" w:rsidTr="003229F3">
        <w:tc>
          <w:tcPr>
            <w:tcW w:w="11016" w:type="dxa"/>
            <w:shd w:val="clear" w:color="auto" w:fill="BFBFBF" w:themeFill="background1" w:themeFillShade="BF"/>
          </w:tcPr>
          <w:p w:rsidR="005A2031" w:rsidRPr="00AB7042" w:rsidRDefault="002E5D7F" w:rsidP="00BB570E">
            <w:pPr>
              <w:jc w:val="center"/>
              <w:outlineLvl w:val="0"/>
              <w:rPr>
                <w:rFonts w:ascii="Arial" w:hAnsi="Arial" w:cs="Arial"/>
                <w:b/>
                <w:sz w:val="28"/>
              </w:rPr>
            </w:pPr>
            <w:r>
              <w:rPr>
                <w:rFonts w:ascii="Arial" w:hAnsi="Arial" w:cs="Arial"/>
                <w:b/>
                <w:sz w:val="28"/>
              </w:rPr>
              <w:t xml:space="preserve">FOCUS </w:t>
            </w:r>
            <w:r w:rsidR="00C74F1F">
              <w:rPr>
                <w:rFonts w:ascii="Arial" w:hAnsi="Arial" w:cs="Arial"/>
                <w:b/>
                <w:sz w:val="28"/>
              </w:rPr>
              <w:t>TEAM</w:t>
            </w:r>
            <w:r w:rsidR="00BB570E">
              <w:rPr>
                <w:rFonts w:ascii="Arial" w:hAnsi="Arial" w:cs="Arial"/>
                <w:b/>
                <w:sz w:val="28"/>
              </w:rPr>
              <w:t>Eligibility Criteria</w:t>
            </w:r>
          </w:p>
        </w:tc>
      </w:tr>
    </w:tbl>
    <w:p w:rsidR="005A2031" w:rsidRPr="00641906" w:rsidRDefault="005A2031" w:rsidP="007551E6">
      <w:pPr>
        <w:outlineLvl w:val="0"/>
        <w:rPr>
          <w:rFonts w:ascii="Arial" w:hAnsi="Arial" w:cs="Arial"/>
        </w:rPr>
      </w:pPr>
    </w:p>
    <w:p w:rsidR="007551E6" w:rsidRPr="00FA64E2" w:rsidRDefault="007551E6" w:rsidP="00C81F4D">
      <w:pPr>
        <w:outlineLvl w:val="0"/>
        <w:rPr>
          <w:rFonts w:ascii="Arial" w:hAnsi="Arial" w:cs="Arial"/>
          <w:i/>
        </w:rPr>
      </w:pPr>
    </w:p>
    <w:tbl>
      <w:tblPr>
        <w:tblStyle w:val="TableGrid"/>
        <w:tblW w:w="0" w:type="auto"/>
        <w:tblLook w:val="04A0"/>
      </w:tblPr>
      <w:tblGrid>
        <w:gridCol w:w="1458"/>
        <w:gridCol w:w="8640"/>
        <w:gridCol w:w="918"/>
      </w:tblGrid>
      <w:tr w:rsidR="00C81F4D" w:rsidRPr="00641906" w:rsidTr="00FA64E2">
        <w:tc>
          <w:tcPr>
            <w:tcW w:w="11016" w:type="dxa"/>
            <w:gridSpan w:val="3"/>
            <w:shd w:val="clear" w:color="auto" w:fill="D9D9D9" w:themeFill="background1" w:themeFillShade="D9"/>
          </w:tcPr>
          <w:p w:rsidR="00C81F4D" w:rsidRPr="000A603A" w:rsidRDefault="00C81F4D" w:rsidP="003E160A">
            <w:pPr>
              <w:jc w:val="center"/>
              <w:outlineLvl w:val="0"/>
              <w:rPr>
                <w:rFonts w:ascii="Arial" w:hAnsi="Arial" w:cs="Arial"/>
                <w:b/>
              </w:rPr>
            </w:pPr>
            <w:r w:rsidRPr="000A603A">
              <w:rPr>
                <w:rFonts w:ascii="Arial" w:hAnsi="Arial" w:cs="Arial"/>
                <w:b/>
              </w:rPr>
              <w:t>Eligibility Criteria</w:t>
            </w:r>
          </w:p>
        </w:tc>
      </w:tr>
      <w:tr w:rsidR="00B940C6" w:rsidRPr="00641906" w:rsidTr="000A603A">
        <w:tc>
          <w:tcPr>
            <w:tcW w:w="1458" w:type="dxa"/>
            <w:vMerge w:val="restart"/>
          </w:tcPr>
          <w:p w:rsidR="00B940C6" w:rsidRPr="000A603A" w:rsidRDefault="00B940C6" w:rsidP="00B940C6">
            <w:pPr>
              <w:pStyle w:val="ListParagraph"/>
              <w:ind w:left="360"/>
              <w:contextualSpacing/>
              <w:jc w:val="center"/>
              <w:rPr>
                <w:rFonts w:ascii="Arial" w:hAnsi="Arial" w:cs="Arial"/>
              </w:rPr>
            </w:pPr>
          </w:p>
          <w:p w:rsidR="00B940C6" w:rsidRPr="000A603A" w:rsidRDefault="00B940C6" w:rsidP="00B940C6">
            <w:pPr>
              <w:pStyle w:val="ListParagraph"/>
              <w:ind w:left="360"/>
              <w:contextualSpacing/>
              <w:jc w:val="center"/>
              <w:rPr>
                <w:rFonts w:ascii="Arial" w:hAnsi="Arial" w:cs="Arial"/>
              </w:rPr>
            </w:pPr>
          </w:p>
          <w:p w:rsidR="00B940C6" w:rsidRPr="000A603A" w:rsidRDefault="00B940C6" w:rsidP="007551E6">
            <w:pPr>
              <w:contextualSpacing/>
              <w:jc w:val="center"/>
              <w:rPr>
                <w:rFonts w:ascii="Arial" w:hAnsi="Arial" w:cs="Arial"/>
              </w:rPr>
            </w:pPr>
            <w:r w:rsidRPr="000A603A">
              <w:rPr>
                <w:rFonts w:ascii="Arial" w:hAnsi="Arial" w:cs="Arial"/>
              </w:rPr>
              <w:t xml:space="preserve">Must meet </w:t>
            </w:r>
            <w:r w:rsidRPr="000A603A">
              <w:rPr>
                <w:rFonts w:ascii="Arial" w:hAnsi="Arial" w:cs="Arial"/>
                <w:b/>
                <w:u w:val="single"/>
              </w:rPr>
              <w:t>all 5</w:t>
            </w:r>
            <w:r w:rsidRPr="000A603A">
              <w:rPr>
                <w:rFonts w:ascii="Arial" w:hAnsi="Arial" w:cs="Arial"/>
              </w:rPr>
              <w:t xml:space="preserve"> of these criteria</w:t>
            </w:r>
          </w:p>
        </w:tc>
        <w:tc>
          <w:tcPr>
            <w:tcW w:w="8640" w:type="dxa"/>
          </w:tcPr>
          <w:p w:rsidR="00B940C6" w:rsidRPr="000A603A" w:rsidRDefault="00762ECC" w:rsidP="00C74F1F">
            <w:pPr>
              <w:pStyle w:val="ListParagraph"/>
              <w:numPr>
                <w:ilvl w:val="0"/>
                <w:numId w:val="33"/>
              </w:numPr>
              <w:contextualSpacing/>
              <w:rPr>
                <w:rFonts w:ascii="Arial" w:hAnsi="Arial" w:cs="Arial"/>
              </w:rPr>
            </w:pPr>
            <w:r w:rsidRPr="000A603A">
              <w:rPr>
                <w:rFonts w:ascii="Arial" w:hAnsi="Arial" w:cs="Arial"/>
              </w:rPr>
              <w:t xml:space="preserve">Experiencing current </w:t>
            </w:r>
            <w:r w:rsidRPr="000A603A">
              <w:rPr>
                <w:rFonts w:ascii="Arial" w:hAnsi="Arial" w:cs="Arial"/>
                <w:b/>
              </w:rPr>
              <w:t>serious mental health</w:t>
            </w:r>
            <w:r w:rsidRPr="000A603A">
              <w:rPr>
                <w:rFonts w:ascii="Arial" w:hAnsi="Arial" w:cs="Arial"/>
              </w:rPr>
              <w:t xml:space="preserve"> problems that significantly impair ability to function and live well within the community.  Typically, challenges with functioning would be demonstrated by significant difficulty in being able to consistently perform the range of activities of daily living required for successful personal functioning in the community (e.g., caring for personal affairs; obtaining medical, legal, and housing services; recognizing and avoiding common dangers or hazards, meeting nutritional needs; maintaining personal hygiene; maintaining employment or carrying out the homemaker role)</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2021279821"/>
              </w:sdtPr>
              <w:sdtContent>
                <w:r w:rsidR="0008570F">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762ECC" w:rsidP="00C74F1F">
            <w:pPr>
              <w:pStyle w:val="ListParagraph"/>
              <w:numPr>
                <w:ilvl w:val="0"/>
                <w:numId w:val="33"/>
              </w:numPr>
              <w:contextualSpacing/>
              <w:rPr>
                <w:rFonts w:ascii="Arial" w:hAnsi="Arial" w:cs="Arial"/>
              </w:rPr>
            </w:pPr>
            <w:r w:rsidRPr="000A603A">
              <w:rPr>
                <w:rFonts w:ascii="Arial" w:hAnsi="Arial" w:cs="Arial"/>
              </w:rPr>
              <w:t>18-65 years old (in exceptional cases an older adult may be considered</w:t>
            </w:r>
            <w:r w:rsidR="006D1CD4" w:rsidRPr="000A603A">
              <w:rPr>
                <w:rFonts w:ascii="Arial" w:hAnsi="Arial" w:cs="Arial"/>
              </w:rPr>
              <w:t>)</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214632888"/>
              </w:sdtPr>
              <w:sdtContent>
                <w:r w:rsidR="009342D8">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762ECC" w:rsidP="00C74F1F">
            <w:pPr>
              <w:pStyle w:val="ListParagraph"/>
              <w:numPr>
                <w:ilvl w:val="0"/>
                <w:numId w:val="33"/>
              </w:numPr>
              <w:outlineLvl w:val="0"/>
              <w:rPr>
                <w:rFonts w:ascii="Arial" w:hAnsi="Arial" w:cs="Arial"/>
              </w:rPr>
            </w:pPr>
            <w:r w:rsidRPr="000A603A">
              <w:rPr>
                <w:rFonts w:ascii="Arial" w:hAnsi="Arial" w:cs="Arial"/>
              </w:rPr>
              <w:t>Not currently served by an assertive community treatment (ACT) team</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534009331"/>
              </w:sdtPr>
              <w:sdtContent>
                <w:r w:rsidR="00A6062B">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762ECC" w:rsidP="00C74F1F">
            <w:pPr>
              <w:pStyle w:val="ListParagraph"/>
              <w:numPr>
                <w:ilvl w:val="0"/>
                <w:numId w:val="33"/>
              </w:numPr>
              <w:contextualSpacing/>
              <w:rPr>
                <w:rFonts w:ascii="Arial" w:hAnsi="Arial" w:cs="Arial"/>
              </w:rPr>
            </w:pPr>
            <w:r w:rsidRPr="000A603A">
              <w:rPr>
                <w:rFonts w:ascii="Arial" w:hAnsi="Arial" w:cs="Arial"/>
              </w:rPr>
              <w:t>Residing in the Mid-East Toronto Health Link (METHL), or, are using acute care services at St. Michael’s Hospital (SMH) and living within the SMH catchment area</w:t>
            </w:r>
          </w:p>
        </w:tc>
        <w:tc>
          <w:tcPr>
            <w:tcW w:w="918" w:type="dxa"/>
          </w:tcPr>
          <w:p w:rsidR="00B940C6" w:rsidRPr="00641906" w:rsidRDefault="00B940C6" w:rsidP="00B940C6">
            <w:pPr>
              <w:outlineLvl w:val="0"/>
              <w:rPr>
                <w:rFonts w:ascii="Arial" w:hAnsi="Arial" w:cs="Arial"/>
              </w:rPr>
            </w:pPr>
          </w:p>
          <w:p w:rsidR="00B940C6" w:rsidRPr="00641906" w:rsidRDefault="006B5E62" w:rsidP="00B940C6">
            <w:pPr>
              <w:jc w:val="center"/>
              <w:outlineLvl w:val="0"/>
              <w:rPr>
                <w:rFonts w:ascii="Arial" w:hAnsi="Arial" w:cs="Arial"/>
              </w:rPr>
            </w:pPr>
            <w:sdt>
              <w:sdtPr>
                <w:rPr>
                  <w:rFonts w:ascii="Arial" w:hAnsi="Arial" w:cs="Arial"/>
                </w:rPr>
                <w:id w:val="1034926600"/>
              </w:sdtPr>
              <w:sdtContent>
                <w:r w:rsidR="00A6062B">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762ECC" w:rsidP="00C74F1F">
            <w:pPr>
              <w:pStyle w:val="ListParagraph"/>
              <w:numPr>
                <w:ilvl w:val="0"/>
                <w:numId w:val="33"/>
              </w:numPr>
              <w:contextualSpacing/>
              <w:rPr>
                <w:rFonts w:ascii="Arial" w:hAnsi="Arial" w:cs="Arial"/>
              </w:rPr>
            </w:pPr>
            <w:r w:rsidRPr="000A603A">
              <w:rPr>
                <w:rFonts w:ascii="Arial" w:hAnsi="Arial" w:cs="Arial"/>
              </w:rPr>
              <w:t>Two or more psychiatric hospitalizations in the past two years, or, recurrent use of the emergency department (&gt; 5 visits in the past 12 months) for mental health problems</w:t>
            </w:r>
          </w:p>
        </w:tc>
        <w:tc>
          <w:tcPr>
            <w:tcW w:w="918" w:type="dxa"/>
          </w:tcPr>
          <w:p w:rsidR="00B940C6" w:rsidRPr="00641906" w:rsidRDefault="006B5E62" w:rsidP="007551E6">
            <w:pPr>
              <w:jc w:val="center"/>
              <w:outlineLvl w:val="0"/>
              <w:rPr>
                <w:rFonts w:ascii="Arial" w:hAnsi="Arial" w:cs="Arial"/>
              </w:rPr>
            </w:pPr>
            <w:sdt>
              <w:sdtPr>
                <w:rPr>
                  <w:rFonts w:ascii="Arial" w:hAnsi="Arial" w:cs="Arial"/>
                </w:rPr>
                <w:id w:val="296042993"/>
              </w:sdtPr>
              <w:sdtContent>
                <w:r w:rsidR="00A6062B">
                  <w:rPr>
                    <w:rFonts w:ascii="MS Gothic" w:eastAsia="MS Gothic" w:hAnsi="MS Gothic" w:cs="Arial" w:hint="eastAsia"/>
                  </w:rPr>
                  <w:t>☐</w:t>
                </w:r>
              </w:sdtContent>
            </w:sdt>
          </w:p>
        </w:tc>
      </w:tr>
      <w:tr w:rsidR="00B940C6" w:rsidRPr="00641906" w:rsidTr="00FA64E2">
        <w:trPr>
          <w:trHeight w:val="471"/>
        </w:trPr>
        <w:tc>
          <w:tcPr>
            <w:tcW w:w="1458" w:type="dxa"/>
            <w:vMerge w:val="restart"/>
          </w:tcPr>
          <w:p w:rsidR="00B940C6" w:rsidRPr="000A603A" w:rsidRDefault="00B940C6" w:rsidP="00B940C6">
            <w:pPr>
              <w:pStyle w:val="ListParagraph"/>
              <w:ind w:left="0"/>
              <w:contextualSpacing/>
              <w:jc w:val="center"/>
              <w:rPr>
                <w:rFonts w:ascii="Arial" w:hAnsi="Arial" w:cs="Arial"/>
              </w:rPr>
            </w:pPr>
          </w:p>
          <w:p w:rsidR="00B940C6" w:rsidRPr="000A603A" w:rsidRDefault="00B940C6" w:rsidP="00B940C6">
            <w:pPr>
              <w:pStyle w:val="ListParagraph"/>
              <w:ind w:left="0"/>
              <w:contextualSpacing/>
              <w:jc w:val="center"/>
              <w:rPr>
                <w:rFonts w:ascii="Arial" w:hAnsi="Arial" w:cs="Arial"/>
              </w:rPr>
            </w:pPr>
          </w:p>
          <w:p w:rsidR="000A603A" w:rsidRDefault="00B940C6" w:rsidP="00B940C6">
            <w:pPr>
              <w:pStyle w:val="ListParagraph"/>
              <w:ind w:left="0"/>
              <w:contextualSpacing/>
              <w:jc w:val="center"/>
              <w:rPr>
                <w:rFonts w:ascii="Arial" w:hAnsi="Arial" w:cs="Arial"/>
              </w:rPr>
            </w:pPr>
            <w:r w:rsidRPr="000A603A">
              <w:rPr>
                <w:rFonts w:ascii="Arial" w:hAnsi="Arial" w:cs="Arial"/>
              </w:rPr>
              <w:t xml:space="preserve">Must meet </w:t>
            </w:r>
          </w:p>
          <w:p w:rsidR="00B940C6" w:rsidRPr="000A603A" w:rsidRDefault="00762ECC" w:rsidP="00B940C6">
            <w:pPr>
              <w:pStyle w:val="ListParagraph"/>
              <w:ind w:left="0"/>
              <w:contextualSpacing/>
              <w:jc w:val="center"/>
              <w:rPr>
                <w:rFonts w:ascii="Arial" w:hAnsi="Arial" w:cs="Arial"/>
              </w:rPr>
            </w:pPr>
            <w:r w:rsidRPr="000A603A">
              <w:rPr>
                <w:rFonts w:ascii="Arial" w:hAnsi="Arial" w:cs="Arial"/>
                <w:b/>
                <w:u w:val="single"/>
              </w:rPr>
              <w:t>2</w:t>
            </w:r>
            <w:r w:rsidR="00B940C6" w:rsidRPr="000A603A">
              <w:rPr>
                <w:rFonts w:ascii="Arial" w:hAnsi="Arial" w:cs="Arial"/>
              </w:rPr>
              <w:t>of these criteria</w:t>
            </w:r>
            <w:r w:rsidR="00BF0C03">
              <w:rPr>
                <w:rFonts w:ascii="Arial" w:hAnsi="Arial" w:cs="Arial"/>
              </w:rPr>
              <w:t>*</w:t>
            </w:r>
            <w:bookmarkStart w:id="0" w:name="_GoBack"/>
            <w:bookmarkEnd w:id="0"/>
          </w:p>
        </w:tc>
        <w:tc>
          <w:tcPr>
            <w:tcW w:w="8640" w:type="dxa"/>
          </w:tcPr>
          <w:p w:rsidR="00B940C6" w:rsidRPr="000A603A" w:rsidRDefault="00762ECC" w:rsidP="00C34BCC">
            <w:pPr>
              <w:pStyle w:val="ListParagraph"/>
              <w:numPr>
                <w:ilvl w:val="0"/>
                <w:numId w:val="34"/>
              </w:numPr>
              <w:ind w:left="702"/>
              <w:contextualSpacing/>
              <w:rPr>
                <w:rFonts w:ascii="Arial" w:hAnsi="Arial" w:cs="Arial"/>
              </w:rPr>
            </w:pPr>
            <w:r w:rsidRPr="000A603A">
              <w:rPr>
                <w:rFonts w:ascii="Arial" w:hAnsi="Arial" w:cs="Arial"/>
              </w:rPr>
              <w:t>Significant challenges in being able to consistently maintain a safe living situation (e.g., repeated evictions or loss of housing)</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1272746562"/>
              </w:sdtPr>
              <w:sdtContent>
                <w:r w:rsidR="00B75E28">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2E5D7F" w:rsidP="00C34BCC">
            <w:pPr>
              <w:pStyle w:val="ListParagraph"/>
              <w:numPr>
                <w:ilvl w:val="0"/>
                <w:numId w:val="34"/>
              </w:numPr>
              <w:ind w:left="702"/>
              <w:contextualSpacing/>
              <w:rPr>
                <w:rFonts w:ascii="Arial" w:hAnsi="Arial" w:cs="Arial"/>
              </w:rPr>
            </w:pPr>
            <w:r w:rsidRPr="000A603A">
              <w:rPr>
                <w:rFonts w:ascii="Arial" w:hAnsi="Arial" w:cs="Arial"/>
              </w:rPr>
              <w:t>An acute and/or chronic medical illness which requires intensive support (e.g. chronically bedridden, homebound, terminal illness, severe mobility limitations, unstable medical condition) and difficulty effectively utilizing traditional office-based out-patient services</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1025138165"/>
              </w:sdtPr>
              <w:sdtContent>
                <w:r w:rsidR="00B940C6" w:rsidRPr="00641906">
                  <w:rPr>
                    <w:rFonts w:ascii="MS Gothic" w:eastAsia="MS Gothic" w:hAnsi="MS Gothic" w:cs="Arial" w:hint="eastAsia"/>
                  </w:rPr>
                  <w:t>☐</w:t>
                </w:r>
              </w:sdtContent>
            </w:sdt>
          </w:p>
          <w:p w:rsidR="00B940C6" w:rsidRPr="00641906" w:rsidRDefault="00B940C6" w:rsidP="003E160A">
            <w:pPr>
              <w:jc w:val="center"/>
              <w:outlineLvl w:val="0"/>
              <w:rPr>
                <w:rFonts w:ascii="Arial" w:hAnsi="Arial" w:cs="Arial"/>
              </w:rPr>
            </w:pPr>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2E5D7F" w:rsidP="00C34BCC">
            <w:pPr>
              <w:pStyle w:val="ListParagraph"/>
              <w:numPr>
                <w:ilvl w:val="0"/>
                <w:numId w:val="34"/>
              </w:numPr>
              <w:ind w:left="702"/>
              <w:contextualSpacing/>
              <w:rPr>
                <w:rFonts w:ascii="Arial" w:hAnsi="Arial" w:cs="Arial"/>
              </w:rPr>
            </w:pPr>
            <w:r w:rsidRPr="000A603A">
              <w:rPr>
                <w:rFonts w:ascii="Arial" w:hAnsi="Arial" w:cs="Arial"/>
              </w:rPr>
              <w:t>A coexisting substance use disorder of greater than 6 months duration</w:t>
            </w:r>
          </w:p>
        </w:tc>
        <w:tc>
          <w:tcPr>
            <w:tcW w:w="918" w:type="dxa"/>
          </w:tcPr>
          <w:p w:rsidR="00B940C6" w:rsidRPr="00641906" w:rsidRDefault="006B5E62" w:rsidP="00B940C6">
            <w:pPr>
              <w:jc w:val="center"/>
              <w:outlineLvl w:val="0"/>
              <w:rPr>
                <w:rFonts w:ascii="Arial" w:hAnsi="Arial" w:cs="Arial"/>
              </w:rPr>
            </w:pPr>
            <w:sdt>
              <w:sdtPr>
                <w:rPr>
                  <w:rFonts w:ascii="Arial" w:hAnsi="Arial" w:cs="Arial"/>
                </w:rPr>
                <w:id w:val="2013339006"/>
              </w:sdtPr>
              <w:sdtContent>
                <w:r w:rsidR="00B940C6" w:rsidRPr="00641906">
                  <w:rPr>
                    <w:rFonts w:ascii="MS Gothic" w:eastAsia="MS Gothic" w:hAnsi="MS Gothic" w:cs="Arial" w:hint="eastAsia"/>
                  </w:rPr>
                  <w:t>☐</w:t>
                </w:r>
              </w:sdtContent>
            </w:sdt>
          </w:p>
        </w:tc>
      </w:tr>
      <w:tr w:rsidR="00B940C6" w:rsidRPr="00641906" w:rsidTr="000A603A">
        <w:tc>
          <w:tcPr>
            <w:tcW w:w="1458" w:type="dxa"/>
            <w:vMerge/>
          </w:tcPr>
          <w:p w:rsidR="00B940C6" w:rsidRPr="000A603A" w:rsidRDefault="00B940C6" w:rsidP="003E160A">
            <w:pPr>
              <w:jc w:val="center"/>
              <w:outlineLvl w:val="0"/>
              <w:rPr>
                <w:rFonts w:ascii="Arial" w:hAnsi="Arial" w:cs="Arial"/>
              </w:rPr>
            </w:pPr>
          </w:p>
        </w:tc>
        <w:tc>
          <w:tcPr>
            <w:tcW w:w="8640" w:type="dxa"/>
          </w:tcPr>
          <w:p w:rsidR="00B940C6" w:rsidRPr="000A603A" w:rsidRDefault="002E5D7F" w:rsidP="00C34BCC">
            <w:pPr>
              <w:pStyle w:val="ListParagraph"/>
              <w:numPr>
                <w:ilvl w:val="0"/>
                <w:numId w:val="34"/>
              </w:numPr>
              <w:ind w:left="702"/>
              <w:contextualSpacing/>
              <w:rPr>
                <w:rFonts w:ascii="Arial" w:hAnsi="Arial" w:cs="Arial"/>
              </w:rPr>
            </w:pPr>
            <w:r w:rsidRPr="000A603A">
              <w:rPr>
                <w:rFonts w:ascii="Arial" w:hAnsi="Arial" w:cs="Arial"/>
              </w:rPr>
              <w:t>Criminal justice involvement in the context of mental health and addictions problems in the past year</w:t>
            </w:r>
          </w:p>
        </w:tc>
        <w:tc>
          <w:tcPr>
            <w:tcW w:w="918" w:type="dxa"/>
          </w:tcPr>
          <w:p w:rsidR="00B940C6" w:rsidRPr="00641906" w:rsidRDefault="006B5E62" w:rsidP="003E160A">
            <w:pPr>
              <w:jc w:val="center"/>
              <w:outlineLvl w:val="0"/>
              <w:rPr>
                <w:rFonts w:ascii="Arial" w:hAnsi="Arial" w:cs="Arial"/>
              </w:rPr>
            </w:pPr>
            <w:sdt>
              <w:sdtPr>
                <w:rPr>
                  <w:rFonts w:ascii="Arial" w:hAnsi="Arial" w:cs="Arial"/>
                </w:rPr>
                <w:id w:val="-1357181751"/>
              </w:sdtPr>
              <w:sdtContent>
                <w:r w:rsidR="009342D8">
                  <w:rPr>
                    <w:rFonts w:ascii="MS Gothic" w:eastAsia="MS Gothic" w:hAnsi="MS Gothic" w:cs="Arial" w:hint="eastAsia"/>
                  </w:rPr>
                  <w:t>☐</w:t>
                </w:r>
              </w:sdtContent>
            </w:sdt>
          </w:p>
        </w:tc>
      </w:tr>
      <w:tr w:rsidR="00F86C5A" w:rsidRPr="00641906" w:rsidTr="000A603A">
        <w:tc>
          <w:tcPr>
            <w:tcW w:w="1458" w:type="dxa"/>
          </w:tcPr>
          <w:p w:rsidR="00F86C5A" w:rsidRPr="000A603A" w:rsidRDefault="00F86C5A" w:rsidP="003E160A">
            <w:pPr>
              <w:jc w:val="center"/>
              <w:outlineLvl w:val="0"/>
              <w:rPr>
                <w:rFonts w:ascii="Arial" w:hAnsi="Arial" w:cs="Arial"/>
              </w:rPr>
            </w:pPr>
          </w:p>
        </w:tc>
        <w:tc>
          <w:tcPr>
            <w:tcW w:w="8640" w:type="dxa"/>
          </w:tcPr>
          <w:p w:rsidR="00F86C5A" w:rsidRPr="000A603A" w:rsidRDefault="00F86C5A" w:rsidP="00924756">
            <w:pPr>
              <w:pStyle w:val="ListParagraph"/>
              <w:ind w:left="522" w:hanging="180"/>
              <w:contextualSpacing/>
              <w:rPr>
                <w:rFonts w:ascii="Arial" w:hAnsi="Arial" w:cs="Arial"/>
              </w:rPr>
            </w:pPr>
            <w:r>
              <w:rPr>
                <w:rFonts w:ascii="Arial" w:hAnsi="Arial" w:cs="Arial"/>
              </w:rPr>
              <w:t>*</w:t>
            </w:r>
            <w:r w:rsidR="0092187E" w:rsidRPr="0092187E">
              <w:rPr>
                <w:rFonts w:ascii="Arial" w:hAnsi="Arial" w:cs="Arial"/>
              </w:rPr>
              <w:t xml:space="preserve"> Individuals who require ACT level of services but do not meet </w:t>
            </w:r>
            <w:r w:rsidR="002C5CFB">
              <w:rPr>
                <w:rFonts w:ascii="Arial" w:hAnsi="Arial" w:cs="Arial"/>
              </w:rPr>
              <w:t xml:space="preserve">the </w:t>
            </w:r>
            <w:r w:rsidR="0092187E" w:rsidRPr="0092187E">
              <w:rPr>
                <w:rFonts w:ascii="Arial" w:hAnsi="Arial" w:cs="Arial"/>
              </w:rPr>
              <w:t>minimum of 2 criteria may still be considered for the FOCUS Team</w:t>
            </w:r>
          </w:p>
        </w:tc>
        <w:tc>
          <w:tcPr>
            <w:tcW w:w="918" w:type="dxa"/>
          </w:tcPr>
          <w:p w:rsidR="00F86C5A" w:rsidRDefault="00F86C5A" w:rsidP="003E160A">
            <w:pPr>
              <w:jc w:val="center"/>
              <w:outlineLvl w:val="0"/>
              <w:rPr>
                <w:rFonts w:ascii="Arial" w:hAnsi="Arial" w:cs="Arial"/>
              </w:rPr>
            </w:pPr>
          </w:p>
        </w:tc>
      </w:tr>
      <w:tr w:rsidR="000715C9" w:rsidRPr="00641906" w:rsidTr="000A603A">
        <w:tc>
          <w:tcPr>
            <w:tcW w:w="1458" w:type="dxa"/>
          </w:tcPr>
          <w:p w:rsidR="000715C9" w:rsidRPr="000A603A" w:rsidRDefault="000715C9" w:rsidP="002E5D7F">
            <w:pPr>
              <w:jc w:val="center"/>
              <w:outlineLvl w:val="0"/>
              <w:rPr>
                <w:rFonts w:ascii="Arial" w:hAnsi="Arial" w:cs="Arial"/>
                <w:b/>
                <w:u w:val="single"/>
              </w:rPr>
            </w:pPr>
            <w:r w:rsidRPr="000A603A">
              <w:rPr>
                <w:rFonts w:ascii="Arial" w:hAnsi="Arial" w:cs="Arial"/>
                <w:b/>
                <w:u w:val="single"/>
              </w:rPr>
              <w:t>And</w:t>
            </w:r>
          </w:p>
        </w:tc>
        <w:tc>
          <w:tcPr>
            <w:tcW w:w="8640" w:type="dxa"/>
          </w:tcPr>
          <w:p w:rsidR="000715C9" w:rsidRDefault="000715C9" w:rsidP="002E5D7F">
            <w:pPr>
              <w:outlineLvl w:val="0"/>
              <w:rPr>
                <w:rFonts w:ascii="Arial" w:hAnsi="Arial" w:cs="Arial"/>
              </w:rPr>
            </w:pPr>
            <w:r w:rsidRPr="000A603A">
              <w:rPr>
                <w:rFonts w:ascii="Arial" w:hAnsi="Arial" w:cs="Arial"/>
              </w:rPr>
              <w:t>Have been assessed as being able to be safely supported by the FOCUS team, within the limitations of the resources available.  Please note that the FOCUS team is not able to safely support individuals who have been assessed as requiring an admission to a medically monitored/supervised institutional or residential setting.</w:t>
            </w:r>
          </w:p>
          <w:p w:rsidR="00F86C5A" w:rsidRPr="000A603A" w:rsidRDefault="00F86C5A" w:rsidP="002E5D7F">
            <w:pPr>
              <w:outlineLvl w:val="0"/>
              <w:rPr>
                <w:rFonts w:ascii="Arial" w:hAnsi="Arial" w:cs="Arial"/>
              </w:rPr>
            </w:pPr>
          </w:p>
        </w:tc>
        <w:tc>
          <w:tcPr>
            <w:tcW w:w="918" w:type="dxa"/>
          </w:tcPr>
          <w:p w:rsidR="000715C9" w:rsidRPr="002E5D7F" w:rsidRDefault="006B5E62" w:rsidP="000715C9">
            <w:pPr>
              <w:jc w:val="center"/>
              <w:outlineLvl w:val="0"/>
              <w:rPr>
                <w:rFonts w:ascii="Arial" w:hAnsi="Arial" w:cs="Arial"/>
              </w:rPr>
            </w:pPr>
            <w:sdt>
              <w:sdtPr>
                <w:rPr>
                  <w:rFonts w:ascii="Arial" w:hAnsi="Arial" w:cs="Arial"/>
                </w:rPr>
                <w:id w:val="1001325696"/>
              </w:sdtPr>
              <w:sdtContent>
                <w:r w:rsidR="00245C8D">
                  <w:rPr>
                    <w:rFonts w:ascii="MS Gothic" w:eastAsia="MS Gothic" w:hAnsi="MS Gothic" w:cs="Arial" w:hint="eastAsia"/>
                  </w:rPr>
                  <w:t>☐</w:t>
                </w:r>
              </w:sdtContent>
            </w:sdt>
          </w:p>
        </w:tc>
      </w:tr>
    </w:tbl>
    <w:p w:rsidR="00641906" w:rsidRPr="00644B6D" w:rsidRDefault="00641906" w:rsidP="00641906">
      <w:pPr>
        <w:jc w:val="center"/>
        <w:rPr>
          <w:rFonts w:ascii="Arial" w:hAnsi="Arial" w:cs="Arial"/>
          <w:b/>
          <w:sz w:val="32"/>
        </w:rPr>
      </w:pPr>
    </w:p>
    <w:sectPr w:rsidR="00641906" w:rsidRPr="00644B6D" w:rsidSect="00723144">
      <w:headerReference w:type="default" r:id="rId12"/>
      <w:footerReference w:type="default" r:id="rId13"/>
      <w:pgSz w:w="12240" w:h="15840"/>
      <w:pgMar w:top="266" w:right="720" w:bottom="720" w:left="720" w:header="426" w:footer="47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7F1C" w:rsidRDefault="00847F1C" w:rsidP="00A27EBB">
      <w:r>
        <w:separator/>
      </w:r>
    </w:p>
  </w:endnote>
  <w:endnote w:type="continuationSeparator" w:id="1">
    <w:p w:rsidR="00847F1C" w:rsidRDefault="00847F1C" w:rsidP="00A27EB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3215"/>
      <w:docPartObj>
        <w:docPartGallery w:val="Page Numbers (Bottom of Page)"/>
        <w:docPartUnique/>
      </w:docPartObj>
    </w:sdtPr>
    <w:sdtContent>
      <w:p w:rsidR="00762ECC" w:rsidRPr="009519AE" w:rsidRDefault="009D7F39" w:rsidP="00CC00FC">
        <w:pPr>
          <w:pStyle w:val="Footer"/>
          <w:rPr>
            <w:color w:val="BFBFBF" w:themeColor="background1" w:themeShade="BF"/>
          </w:rPr>
        </w:pPr>
        <w:r w:rsidRPr="009519AE">
          <w:rPr>
            <w:b/>
            <w:color w:val="BFBFBF" w:themeColor="background1" w:themeShade="BF"/>
          </w:rPr>
          <w:t>Mid East</w:t>
        </w:r>
        <w:r w:rsidR="00762ECC" w:rsidRPr="009519AE">
          <w:rPr>
            <w:b/>
            <w:color w:val="BFBFBF" w:themeColor="background1" w:themeShade="BF"/>
          </w:rPr>
          <w:t xml:space="preserve"> Toronto LINK </w:t>
        </w:r>
        <w:r w:rsidR="000715C9" w:rsidRPr="009519AE">
          <w:rPr>
            <w:b/>
            <w:color w:val="BFBFBF" w:themeColor="background1" w:themeShade="BF"/>
          </w:rPr>
          <w:t xml:space="preserve">- FOCUS </w:t>
        </w:r>
        <w:r w:rsidR="00F9535F" w:rsidRPr="009519AE">
          <w:rPr>
            <w:b/>
            <w:color w:val="BFBFBF" w:themeColor="background1" w:themeShade="BF"/>
          </w:rPr>
          <w:t xml:space="preserve">Team Referral Form </w:t>
        </w:r>
        <w:r w:rsidR="00762ECC" w:rsidRPr="009519AE">
          <w:rPr>
            <w:b/>
            <w:color w:val="BFBFBF" w:themeColor="background1" w:themeShade="BF"/>
          </w:rPr>
          <w:tab/>
          <w:t>Client Name:</w:t>
        </w:r>
      </w:p>
      <w:p w:rsidR="00762ECC" w:rsidRDefault="006B5E62">
        <w:pPr>
          <w:pStyle w:val="Footer"/>
          <w:jc w:val="right"/>
        </w:pPr>
        <w:r>
          <w:fldChar w:fldCharType="begin"/>
        </w:r>
        <w:r w:rsidR="00762ECC">
          <w:instrText xml:space="preserve"> PAGE   \* MERGEFORMAT </w:instrText>
        </w:r>
        <w:r>
          <w:fldChar w:fldCharType="separate"/>
        </w:r>
        <w:r w:rsidR="00B56A45">
          <w:rPr>
            <w:noProof/>
          </w:rPr>
          <w:t>1</w:t>
        </w:r>
        <w:r>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7F1C" w:rsidRDefault="00847F1C" w:rsidP="00A27EBB">
      <w:r>
        <w:separator/>
      </w:r>
    </w:p>
  </w:footnote>
  <w:footnote w:type="continuationSeparator" w:id="1">
    <w:p w:rsidR="00847F1C" w:rsidRDefault="00847F1C" w:rsidP="00A27E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ECC" w:rsidRPr="00A03E96" w:rsidRDefault="00762ECC" w:rsidP="00A03E96">
    <w:pPr>
      <w:jc w:val="right"/>
      <w:outlineLvl w:val="0"/>
      <w:rPr>
        <w:rFonts w:ascii="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B8F"/>
    <w:multiLevelType w:val="hybridMultilevel"/>
    <w:tmpl w:val="EF74FE1C"/>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30575EB"/>
    <w:multiLevelType w:val="hybridMultilevel"/>
    <w:tmpl w:val="F98CF4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6A50969"/>
    <w:multiLevelType w:val="hybridMultilevel"/>
    <w:tmpl w:val="E61414E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9D56AF7"/>
    <w:multiLevelType w:val="hybridMultilevel"/>
    <w:tmpl w:val="8788F540"/>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0A0052F5"/>
    <w:multiLevelType w:val="hybridMultilevel"/>
    <w:tmpl w:val="81369A88"/>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1407FC9"/>
    <w:multiLevelType w:val="hybridMultilevel"/>
    <w:tmpl w:val="2F6456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81476B7"/>
    <w:multiLevelType w:val="hybridMultilevel"/>
    <w:tmpl w:val="676E5B5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9BF4BA2"/>
    <w:multiLevelType w:val="hybridMultilevel"/>
    <w:tmpl w:val="9E6869BA"/>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FD6649F"/>
    <w:multiLevelType w:val="hybridMultilevel"/>
    <w:tmpl w:val="38E6265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D44AE0"/>
    <w:multiLevelType w:val="hybridMultilevel"/>
    <w:tmpl w:val="C694CE1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271591F"/>
    <w:multiLevelType w:val="hybridMultilevel"/>
    <w:tmpl w:val="6DF2476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6DA7B1D"/>
    <w:multiLevelType w:val="hybridMultilevel"/>
    <w:tmpl w:val="A3CC65C2"/>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F6A0D40"/>
    <w:multiLevelType w:val="hybridMultilevel"/>
    <w:tmpl w:val="C108D83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A765E3"/>
    <w:multiLevelType w:val="hybridMultilevel"/>
    <w:tmpl w:val="640A2B08"/>
    <w:lvl w:ilvl="0" w:tplc="9DAC78B0">
      <w:start w:val="1"/>
      <w:numFmt w:val="upperLetter"/>
      <w:lvlText w:val="%1)"/>
      <w:lvlJc w:val="left"/>
      <w:pPr>
        <w:ind w:left="8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6D77164"/>
    <w:multiLevelType w:val="hybridMultilevel"/>
    <w:tmpl w:val="D52A2E3E"/>
    <w:lvl w:ilvl="0" w:tplc="10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8790206"/>
    <w:multiLevelType w:val="hybridMultilevel"/>
    <w:tmpl w:val="BC58FADC"/>
    <w:lvl w:ilvl="0" w:tplc="750CCCD6">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0784D04"/>
    <w:multiLevelType w:val="hybridMultilevel"/>
    <w:tmpl w:val="38E6265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54A92414"/>
    <w:multiLevelType w:val="hybridMultilevel"/>
    <w:tmpl w:val="4202D284"/>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nsid w:val="584D381E"/>
    <w:multiLevelType w:val="hybridMultilevel"/>
    <w:tmpl w:val="4DE239A8"/>
    <w:lvl w:ilvl="0" w:tplc="0409000F">
      <w:start w:val="1"/>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5A1113EA"/>
    <w:multiLevelType w:val="hybridMultilevel"/>
    <w:tmpl w:val="7132F556"/>
    <w:lvl w:ilvl="0" w:tplc="3D20471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A0454"/>
    <w:multiLevelType w:val="hybridMultilevel"/>
    <w:tmpl w:val="5FB07218"/>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nsid w:val="5F2676ED"/>
    <w:multiLevelType w:val="hybridMultilevel"/>
    <w:tmpl w:val="737E0D64"/>
    <w:lvl w:ilvl="0" w:tplc="1009000B">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nsid w:val="5F6C7863"/>
    <w:multiLevelType w:val="hybridMultilevel"/>
    <w:tmpl w:val="EAE03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4719B6"/>
    <w:multiLevelType w:val="hybridMultilevel"/>
    <w:tmpl w:val="C152F71A"/>
    <w:lvl w:ilvl="0" w:tplc="0409000F">
      <w:start w:val="2"/>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2885260"/>
    <w:multiLevelType w:val="hybridMultilevel"/>
    <w:tmpl w:val="8A6E1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E472AF"/>
    <w:multiLevelType w:val="hybridMultilevel"/>
    <w:tmpl w:val="6B786416"/>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C054032"/>
    <w:multiLevelType w:val="hybridMultilevel"/>
    <w:tmpl w:val="5CB4C5CA"/>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74EA059B"/>
    <w:multiLevelType w:val="hybridMultilevel"/>
    <w:tmpl w:val="BE7661C0"/>
    <w:lvl w:ilvl="0" w:tplc="7B8AEFA8">
      <w:start w:val="1"/>
      <w:numFmt w:val="decimal"/>
      <w:lvlText w:val="%1."/>
      <w:lvlJc w:val="left"/>
      <w:pPr>
        <w:ind w:left="36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751E51E0"/>
    <w:multiLevelType w:val="hybridMultilevel"/>
    <w:tmpl w:val="87E4CA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9">
    <w:nsid w:val="7A5D1D4C"/>
    <w:multiLevelType w:val="hybridMultilevel"/>
    <w:tmpl w:val="F94EACA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D50480E"/>
    <w:multiLevelType w:val="hybridMultilevel"/>
    <w:tmpl w:val="6DF2476E"/>
    <w:lvl w:ilvl="0" w:tplc="0409000F">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0"/>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num>
  <w:num w:numId="18">
    <w:abstractNumId w:val="16"/>
  </w:num>
  <w:num w:numId="19">
    <w:abstractNumId w:val="0"/>
  </w:num>
  <w:num w:numId="20">
    <w:abstractNumId w:val="26"/>
  </w:num>
  <w:num w:numId="21">
    <w:abstractNumId w:val="10"/>
  </w:num>
  <w:num w:numId="22">
    <w:abstractNumId w:val="11"/>
  </w:num>
  <w:num w:numId="23">
    <w:abstractNumId w:val="9"/>
  </w:num>
  <w:num w:numId="24">
    <w:abstractNumId w:val="12"/>
  </w:num>
  <w:num w:numId="25">
    <w:abstractNumId w:val="5"/>
  </w:num>
  <w:num w:numId="26">
    <w:abstractNumId w:val="14"/>
  </w:num>
  <w:num w:numId="27">
    <w:abstractNumId w:val="28"/>
  </w:num>
  <w:num w:numId="28">
    <w:abstractNumId w:val="21"/>
  </w:num>
  <w:num w:numId="29">
    <w:abstractNumId w:val="4"/>
  </w:num>
  <w:num w:numId="30">
    <w:abstractNumId w:val="1"/>
  </w:num>
  <w:num w:numId="31">
    <w:abstractNumId w:val="19"/>
  </w:num>
  <w:num w:numId="32">
    <w:abstractNumId w:val="20"/>
  </w:num>
  <w:num w:numId="33">
    <w:abstractNumId w:val="24"/>
  </w:num>
  <w:num w:numId="34">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501A9E"/>
    <w:rsid w:val="00000901"/>
    <w:rsid w:val="00001EA0"/>
    <w:rsid w:val="0000396A"/>
    <w:rsid w:val="000047F2"/>
    <w:rsid w:val="00051F6E"/>
    <w:rsid w:val="000579FD"/>
    <w:rsid w:val="000625C0"/>
    <w:rsid w:val="000715C9"/>
    <w:rsid w:val="000731E6"/>
    <w:rsid w:val="00083AC3"/>
    <w:rsid w:val="0008570F"/>
    <w:rsid w:val="000A14E4"/>
    <w:rsid w:val="000A603A"/>
    <w:rsid w:val="000B4DC6"/>
    <w:rsid w:val="000C5897"/>
    <w:rsid w:val="000D1C37"/>
    <w:rsid w:val="000F6198"/>
    <w:rsid w:val="0011758F"/>
    <w:rsid w:val="0012072B"/>
    <w:rsid w:val="00133C02"/>
    <w:rsid w:val="0013490C"/>
    <w:rsid w:val="00144899"/>
    <w:rsid w:val="00154F0B"/>
    <w:rsid w:val="00167FB3"/>
    <w:rsid w:val="00170875"/>
    <w:rsid w:val="00172638"/>
    <w:rsid w:val="00180346"/>
    <w:rsid w:val="00180849"/>
    <w:rsid w:val="00181C30"/>
    <w:rsid w:val="0018453A"/>
    <w:rsid w:val="00193B78"/>
    <w:rsid w:val="001B04AA"/>
    <w:rsid w:val="001B7A0A"/>
    <w:rsid w:val="001C58D6"/>
    <w:rsid w:val="001D1902"/>
    <w:rsid w:val="001D37C8"/>
    <w:rsid w:val="001F4D1C"/>
    <w:rsid w:val="00231FDE"/>
    <w:rsid w:val="0023286E"/>
    <w:rsid w:val="0024162E"/>
    <w:rsid w:val="00244DEC"/>
    <w:rsid w:val="00245C8D"/>
    <w:rsid w:val="00260CB1"/>
    <w:rsid w:val="00272A85"/>
    <w:rsid w:val="002747FE"/>
    <w:rsid w:val="00275A05"/>
    <w:rsid w:val="00283638"/>
    <w:rsid w:val="00285371"/>
    <w:rsid w:val="002A3883"/>
    <w:rsid w:val="002B03D7"/>
    <w:rsid w:val="002C5CFB"/>
    <w:rsid w:val="002D1DBF"/>
    <w:rsid w:val="002E5D7F"/>
    <w:rsid w:val="002F51A0"/>
    <w:rsid w:val="0030723C"/>
    <w:rsid w:val="00316363"/>
    <w:rsid w:val="00320818"/>
    <w:rsid w:val="003229F3"/>
    <w:rsid w:val="003252D4"/>
    <w:rsid w:val="003261AC"/>
    <w:rsid w:val="00332DEC"/>
    <w:rsid w:val="00336A3A"/>
    <w:rsid w:val="00340926"/>
    <w:rsid w:val="003422F8"/>
    <w:rsid w:val="003424C5"/>
    <w:rsid w:val="00380BD4"/>
    <w:rsid w:val="00380E84"/>
    <w:rsid w:val="003817C5"/>
    <w:rsid w:val="003843DA"/>
    <w:rsid w:val="0039244C"/>
    <w:rsid w:val="003A67BA"/>
    <w:rsid w:val="003B1942"/>
    <w:rsid w:val="003D4373"/>
    <w:rsid w:val="003E160A"/>
    <w:rsid w:val="003E31F4"/>
    <w:rsid w:val="003E3805"/>
    <w:rsid w:val="00401B05"/>
    <w:rsid w:val="00405C04"/>
    <w:rsid w:val="004118C3"/>
    <w:rsid w:val="004263B1"/>
    <w:rsid w:val="00441D3B"/>
    <w:rsid w:val="0044524E"/>
    <w:rsid w:val="00456E98"/>
    <w:rsid w:val="00474144"/>
    <w:rsid w:val="00484F29"/>
    <w:rsid w:val="004865B7"/>
    <w:rsid w:val="00492164"/>
    <w:rsid w:val="00492173"/>
    <w:rsid w:val="004B23F6"/>
    <w:rsid w:val="004C056C"/>
    <w:rsid w:val="004C782C"/>
    <w:rsid w:val="004D2B74"/>
    <w:rsid w:val="004F198E"/>
    <w:rsid w:val="004F3825"/>
    <w:rsid w:val="00501A9E"/>
    <w:rsid w:val="00522991"/>
    <w:rsid w:val="0052797B"/>
    <w:rsid w:val="00537503"/>
    <w:rsid w:val="00546663"/>
    <w:rsid w:val="00546ACC"/>
    <w:rsid w:val="0055333A"/>
    <w:rsid w:val="0059241D"/>
    <w:rsid w:val="005A0FE4"/>
    <w:rsid w:val="005A2031"/>
    <w:rsid w:val="005A4403"/>
    <w:rsid w:val="005B615B"/>
    <w:rsid w:val="005C1DB8"/>
    <w:rsid w:val="005F393B"/>
    <w:rsid w:val="005F69FA"/>
    <w:rsid w:val="006240F2"/>
    <w:rsid w:val="00626ADC"/>
    <w:rsid w:val="00641906"/>
    <w:rsid w:val="00644B6D"/>
    <w:rsid w:val="00670743"/>
    <w:rsid w:val="00670EBC"/>
    <w:rsid w:val="00672FDE"/>
    <w:rsid w:val="00683582"/>
    <w:rsid w:val="00684C5F"/>
    <w:rsid w:val="00696709"/>
    <w:rsid w:val="006A12D4"/>
    <w:rsid w:val="006A35BC"/>
    <w:rsid w:val="006B5E62"/>
    <w:rsid w:val="006C3767"/>
    <w:rsid w:val="006D1CD4"/>
    <w:rsid w:val="006E2F28"/>
    <w:rsid w:val="006F3F42"/>
    <w:rsid w:val="00702123"/>
    <w:rsid w:val="0071201F"/>
    <w:rsid w:val="00715183"/>
    <w:rsid w:val="00717113"/>
    <w:rsid w:val="00723144"/>
    <w:rsid w:val="00731686"/>
    <w:rsid w:val="00752512"/>
    <w:rsid w:val="007551E6"/>
    <w:rsid w:val="00762A6B"/>
    <w:rsid w:val="00762ECC"/>
    <w:rsid w:val="00771E6E"/>
    <w:rsid w:val="00775E0E"/>
    <w:rsid w:val="007A61CE"/>
    <w:rsid w:val="007D1DE4"/>
    <w:rsid w:val="007D3B87"/>
    <w:rsid w:val="007F0199"/>
    <w:rsid w:val="007F0596"/>
    <w:rsid w:val="007F21B4"/>
    <w:rsid w:val="007F661A"/>
    <w:rsid w:val="00810D7D"/>
    <w:rsid w:val="00813387"/>
    <w:rsid w:val="00826C2E"/>
    <w:rsid w:val="008448CE"/>
    <w:rsid w:val="00845CB7"/>
    <w:rsid w:val="00846936"/>
    <w:rsid w:val="00846DBB"/>
    <w:rsid w:val="00847F1C"/>
    <w:rsid w:val="00862A70"/>
    <w:rsid w:val="0087208B"/>
    <w:rsid w:val="008802BC"/>
    <w:rsid w:val="008815A8"/>
    <w:rsid w:val="00892722"/>
    <w:rsid w:val="008B4CBB"/>
    <w:rsid w:val="008B680C"/>
    <w:rsid w:val="008B6BB3"/>
    <w:rsid w:val="008C6771"/>
    <w:rsid w:val="008E3C65"/>
    <w:rsid w:val="008E4E8B"/>
    <w:rsid w:val="008F3EE0"/>
    <w:rsid w:val="008F65E4"/>
    <w:rsid w:val="00904797"/>
    <w:rsid w:val="009147B5"/>
    <w:rsid w:val="009151BF"/>
    <w:rsid w:val="00920E02"/>
    <w:rsid w:val="0092187E"/>
    <w:rsid w:val="00924756"/>
    <w:rsid w:val="009342D8"/>
    <w:rsid w:val="009519AE"/>
    <w:rsid w:val="00961CA3"/>
    <w:rsid w:val="00963C6C"/>
    <w:rsid w:val="0097619D"/>
    <w:rsid w:val="0098185D"/>
    <w:rsid w:val="00983C42"/>
    <w:rsid w:val="00986822"/>
    <w:rsid w:val="009953FC"/>
    <w:rsid w:val="009A4D59"/>
    <w:rsid w:val="009C670A"/>
    <w:rsid w:val="009D1788"/>
    <w:rsid w:val="009D7F39"/>
    <w:rsid w:val="009F1547"/>
    <w:rsid w:val="009F5522"/>
    <w:rsid w:val="009F67DD"/>
    <w:rsid w:val="00A03E96"/>
    <w:rsid w:val="00A125F8"/>
    <w:rsid w:val="00A21C15"/>
    <w:rsid w:val="00A27EBB"/>
    <w:rsid w:val="00A41F54"/>
    <w:rsid w:val="00A47D56"/>
    <w:rsid w:val="00A500FD"/>
    <w:rsid w:val="00A6062B"/>
    <w:rsid w:val="00AA2558"/>
    <w:rsid w:val="00AA56BE"/>
    <w:rsid w:val="00AA7E2B"/>
    <w:rsid w:val="00AB7042"/>
    <w:rsid w:val="00AC5966"/>
    <w:rsid w:val="00AE543B"/>
    <w:rsid w:val="00AF09DC"/>
    <w:rsid w:val="00AF710E"/>
    <w:rsid w:val="00B4787D"/>
    <w:rsid w:val="00B56A45"/>
    <w:rsid w:val="00B6532D"/>
    <w:rsid w:val="00B73CAC"/>
    <w:rsid w:val="00B75E28"/>
    <w:rsid w:val="00B83E1C"/>
    <w:rsid w:val="00B940C6"/>
    <w:rsid w:val="00BB570E"/>
    <w:rsid w:val="00BD71A9"/>
    <w:rsid w:val="00BD7ECF"/>
    <w:rsid w:val="00BF0C03"/>
    <w:rsid w:val="00BF5BDD"/>
    <w:rsid w:val="00BF7086"/>
    <w:rsid w:val="00C01D10"/>
    <w:rsid w:val="00C0656F"/>
    <w:rsid w:val="00C118D6"/>
    <w:rsid w:val="00C14A1E"/>
    <w:rsid w:val="00C27798"/>
    <w:rsid w:val="00C3252A"/>
    <w:rsid w:val="00C34BCC"/>
    <w:rsid w:val="00C373A7"/>
    <w:rsid w:val="00C41F34"/>
    <w:rsid w:val="00C43A66"/>
    <w:rsid w:val="00C70701"/>
    <w:rsid w:val="00C74F1F"/>
    <w:rsid w:val="00C80CD0"/>
    <w:rsid w:val="00C81F4D"/>
    <w:rsid w:val="00C90073"/>
    <w:rsid w:val="00CA5613"/>
    <w:rsid w:val="00CA75E2"/>
    <w:rsid w:val="00CB0E50"/>
    <w:rsid w:val="00CC00FC"/>
    <w:rsid w:val="00CD009C"/>
    <w:rsid w:val="00CF20F3"/>
    <w:rsid w:val="00CF2DEA"/>
    <w:rsid w:val="00CF57DF"/>
    <w:rsid w:val="00D11E8E"/>
    <w:rsid w:val="00D24E12"/>
    <w:rsid w:val="00D359D0"/>
    <w:rsid w:val="00D51BB7"/>
    <w:rsid w:val="00D71515"/>
    <w:rsid w:val="00D73374"/>
    <w:rsid w:val="00D774C8"/>
    <w:rsid w:val="00D933EB"/>
    <w:rsid w:val="00DB2ECC"/>
    <w:rsid w:val="00E13296"/>
    <w:rsid w:val="00E16882"/>
    <w:rsid w:val="00E256D3"/>
    <w:rsid w:val="00E31BEE"/>
    <w:rsid w:val="00E40121"/>
    <w:rsid w:val="00E4663C"/>
    <w:rsid w:val="00E70306"/>
    <w:rsid w:val="00E85AAB"/>
    <w:rsid w:val="00E921F3"/>
    <w:rsid w:val="00E97DEB"/>
    <w:rsid w:val="00EB23AB"/>
    <w:rsid w:val="00EC24D3"/>
    <w:rsid w:val="00EC3724"/>
    <w:rsid w:val="00ED74E8"/>
    <w:rsid w:val="00EE6422"/>
    <w:rsid w:val="00F14820"/>
    <w:rsid w:val="00F225E6"/>
    <w:rsid w:val="00F3059B"/>
    <w:rsid w:val="00F30C15"/>
    <w:rsid w:val="00F33F45"/>
    <w:rsid w:val="00F86C5A"/>
    <w:rsid w:val="00F91D02"/>
    <w:rsid w:val="00F94520"/>
    <w:rsid w:val="00F9535F"/>
    <w:rsid w:val="00FA64E2"/>
    <w:rsid w:val="00FB6172"/>
    <w:rsid w:val="00FE57AC"/>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9E"/>
    <w:pPr>
      <w:ind w:left="720"/>
    </w:pPr>
  </w:style>
  <w:style w:type="character" w:styleId="PlaceholderText">
    <w:name w:val="Placeholder Text"/>
    <w:basedOn w:val="DefaultParagraphFont"/>
    <w:uiPriority w:val="99"/>
    <w:semiHidden/>
    <w:rsid w:val="00501A9E"/>
    <w:rPr>
      <w:color w:val="808080"/>
    </w:rPr>
  </w:style>
  <w:style w:type="paragraph" w:styleId="BalloonText">
    <w:name w:val="Balloon Text"/>
    <w:basedOn w:val="Normal"/>
    <w:link w:val="BalloonTextChar"/>
    <w:uiPriority w:val="99"/>
    <w:semiHidden/>
    <w:unhideWhenUsed/>
    <w:rsid w:val="00501A9E"/>
    <w:rPr>
      <w:rFonts w:ascii="Tahoma" w:hAnsi="Tahoma" w:cs="Tahoma"/>
      <w:sz w:val="16"/>
      <w:szCs w:val="16"/>
    </w:rPr>
  </w:style>
  <w:style w:type="character" w:customStyle="1" w:styleId="BalloonTextChar">
    <w:name w:val="Balloon Text Char"/>
    <w:basedOn w:val="DefaultParagraphFont"/>
    <w:link w:val="BalloonText"/>
    <w:uiPriority w:val="99"/>
    <w:semiHidden/>
    <w:rsid w:val="00501A9E"/>
    <w:rPr>
      <w:rFonts w:ascii="Tahoma" w:eastAsia="Times New Roman" w:hAnsi="Tahoma" w:cs="Tahoma"/>
      <w:sz w:val="16"/>
      <w:szCs w:val="16"/>
    </w:rPr>
  </w:style>
  <w:style w:type="paragraph" w:styleId="Header">
    <w:name w:val="header"/>
    <w:basedOn w:val="Normal"/>
    <w:link w:val="HeaderChar"/>
    <w:uiPriority w:val="99"/>
    <w:unhideWhenUsed/>
    <w:rsid w:val="00A27EBB"/>
    <w:pPr>
      <w:tabs>
        <w:tab w:val="center" w:pos="4680"/>
        <w:tab w:val="right" w:pos="9360"/>
      </w:tabs>
    </w:pPr>
  </w:style>
  <w:style w:type="character" w:customStyle="1" w:styleId="HeaderChar">
    <w:name w:val="Header Char"/>
    <w:basedOn w:val="DefaultParagraphFont"/>
    <w:link w:val="Header"/>
    <w:uiPriority w:val="99"/>
    <w:rsid w:val="00A27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EBB"/>
    <w:pPr>
      <w:tabs>
        <w:tab w:val="center" w:pos="4680"/>
        <w:tab w:val="right" w:pos="9360"/>
      </w:tabs>
    </w:pPr>
  </w:style>
  <w:style w:type="character" w:customStyle="1" w:styleId="FooterChar">
    <w:name w:val="Footer Char"/>
    <w:basedOn w:val="DefaultParagraphFont"/>
    <w:link w:val="Footer"/>
    <w:uiPriority w:val="99"/>
    <w:rsid w:val="00A27EBB"/>
    <w:rPr>
      <w:rFonts w:ascii="Times New Roman" w:eastAsia="Times New Roman" w:hAnsi="Times New Roman" w:cs="Times New Roman"/>
      <w:sz w:val="24"/>
      <w:szCs w:val="24"/>
    </w:rPr>
  </w:style>
  <w:style w:type="table" w:styleId="TableGrid">
    <w:name w:val="Table Grid"/>
    <w:basedOn w:val="TableNormal"/>
    <w:rsid w:val="0071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2FDE"/>
    <w:rPr>
      <w:sz w:val="16"/>
      <w:szCs w:val="16"/>
    </w:rPr>
  </w:style>
  <w:style w:type="paragraph" w:styleId="CommentText">
    <w:name w:val="annotation text"/>
    <w:basedOn w:val="Normal"/>
    <w:link w:val="CommentTextChar"/>
    <w:uiPriority w:val="99"/>
    <w:semiHidden/>
    <w:unhideWhenUsed/>
    <w:rsid w:val="00672FDE"/>
    <w:rPr>
      <w:sz w:val="20"/>
      <w:szCs w:val="20"/>
    </w:rPr>
  </w:style>
  <w:style w:type="character" w:customStyle="1" w:styleId="CommentTextChar">
    <w:name w:val="Comment Text Char"/>
    <w:basedOn w:val="DefaultParagraphFont"/>
    <w:link w:val="CommentText"/>
    <w:uiPriority w:val="99"/>
    <w:semiHidden/>
    <w:rsid w:val="00672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FDE"/>
    <w:rPr>
      <w:b/>
      <w:bCs/>
    </w:rPr>
  </w:style>
  <w:style w:type="character" w:customStyle="1" w:styleId="CommentSubjectChar">
    <w:name w:val="Comment Subject Char"/>
    <w:basedOn w:val="CommentTextChar"/>
    <w:link w:val="CommentSubject"/>
    <w:uiPriority w:val="99"/>
    <w:semiHidden/>
    <w:rsid w:val="00672FDE"/>
    <w:rPr>
      <w:rFonts w:ascii="Times New Roman" w:eastAsia="Times New Roman" w:hAnsi="Times New Roman" w:cs="Times New Roman"/>
      <w:b/>
      <w:bCs/>
      <w:sz w:val="20"/>
      <w:szCs w:val="20"/>
    </w:rPr>
  </w:style>
  <w:style w:type="character" w:styleId="Strong">
    <w:name w:val="Strong"/>
    <w:basedOn w:val="DefaultParagraphFont"/>
    <w:uiPriority w:val="22"/>
    <w:qFormat/>
    <w:rsid w:val="006419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9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A9E"/>
    <w:pPr>
      <w:ind w:left="720"/>
    </w:pPr>
  </w:style>
  <w:style w:type="character" w:styleId="PlaceholderText">
    <w:name w:val="Placeholder Text"/>
    <w:basedOn w:val="DefaultParagraphFont"/>
    <w:uiPriority w:val="99"/>
    <w:semiHidden/>
    <w:rsid w:val="00501A9E"/>
    <w:rPr>
      <w:color w:val="808080"/>
    </w:rPr>
  </w:style>
  <w:style w:type="paragraph" w:styleId="BalloonText">
    <w:name w:val="Balloon Text"/>
    <w:basedOn w:val="Normal"/>
    <w:link w:val="BalloonTextChar"/>
    <w:uiPriority w:val="99"/>
    <w:semiHidden/>
    <w:unhideWhenUsed/>
    <w:rsid w:val="00501A9E"/>
    <w:rPr>
      <w:rFonts w:ascii="Tahoma" w:hAnsi="Tahoma" w:cs="Tahoma"/>
      <w:sz w:val="16"/>
      <w:szCs w:val="16"/>
    </w:rPr>
  </w:style>
  <w:style w:type="character" w:customStyle="1" w:styleId="BalloonTextChar">
    <w:name w:val="Balloon Text Char"/>
    <w:basedOn w:val="DefaultParagraphFont"/>
    <w:link w:val="BalloonText"/>
    <w:uiPriority w:val="99"/>
    <w:semiHidden/>
    <w:rsid w:val="00501A9E"/>
    <w:rPr>
      <w:rFonts w:ascii="Tahoma" w:eastAsia="Times New Roman" w:hAnsi="Tahoma" w:cs="Tahoma"/>
      <w:sz w:val="16"/>
      <w:szCs w:val="16"/>
    </w:rPr>
  </w:style>
  <w:style w:type="paragraph" w:styleId="Header">
    <w:name w:val="header"/>
    <w:basedOn w:val="Normal"/>
    <w:link w:val="HeaderChar"/>
    <w:uiPriority w:val="99"/>
    <w:unhideWhenUsed/>
    <w:rsid w:val="00A27EBB"/>
    <w:pPr>
      <w:tabs>
        <w:tab w:val="center" w:pos="4680"/>
        <w:tab w:val="right" w:pos="9360"/>
      </w:tabs>
    </w:pPr>
  </w:style>
  <w:style w:type="character" w:customStyle="1" w:styleId="HeaderChar">
    <w:name w:val="Header Char"/>
    <w:basedOn w:val="DefaultParagraphFont"/>
    <w:link w:val="Header"/>
    <w:uiPriority w:val="99"/>
    <w:rsid w:val="00A27EB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27EBB"/>
    <w:pPr>
      <w:tabs>
        <w:tab w:val="center" w:pos="4680"/>
        <w:tab w:val="right" w:pos="9360"/>
      </w:tabs>
    </w:pPr>
  </w:style>
  <w:style w:type="character" w:customStyle="1" w:styleId="FooterChar">
    <w:name w:val="Footer Char"/>
    <w:basedOn w:val="DefaultParagraphFont"/>
    <w:link w:val="Footer"/>
    <w:uiPriority w:val="99"/>
    <w:rsid w:val="00A27EBB"/>
    <w:rPr>
      <w:rFonts w:ascii="Times New Roman" w:eastAsia="Times New Roman" w:hAnsi="Times New Roman" w:cs="Times New Roman"/>
      <w:sz w:val="24"/>
      <w:szCs w:val="24"/>
    </w:rPr>
  </w:style>
  <w:style w:type="table" w:styleId="TableGrid">
    <w:name w:val="Table Grid"/>
    <w:basedOn w:val="TableNormal"/>
    <w:rsid w:val="007151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672FDE"/>
    <w:rPr>
      <w:sz w:val="16"/>
      <w:szCs w:val="16"/>
    </w:rPr>
  </w:style>
  <w:style w:type="paragraph" w:styleId="CommentText">
    <w:name w:val="annotation text"/>
    <w:basedOn w:val="Normal"/>
    <w:link w:val="CommentTextChar"/>
    <w:uiPriority w:val="99"/>
    <w:semiHidden/>
    <w:unhideWhenUsed/>
    <w:rsid w:val="00672FDE"/>
    <w:rPr>
      <w:sz w:val="20"/>
      <w:szCs w:val="20"/>
    </w:rPr>
  </w:style>
  <w:style w:type="character" w:customStyle="1" w:styleId="CommentTextChar">
    <w:name w:val="Comment Text Char"/>
    <w:basedOn w:val="DefaultParagraphFont"/>
    <w:link w:val="CommentText"/>
    <w:uiPriority w:val="99"/>
    <w:semiHidden/>
    <w:rsid w:val="00672F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FDE"/>
    <w:rPr>
      <w:b/>
      <w:bCs/>
    </w:rPr>
  </w:style>
  <w:style w:type="character" w:customStyle="1" w:styleId="CommentSubjectChar">
    <w:name w:val="Comment Subject Char"/>
    <w:basedOn w:val="CommentTextChar"/>
    <w:link w:val="CommentSubject"/>
    <w:uiPriority w:val="99"/>
    <w:semiHidden/>
    <w:rsid w:val="00672FDE"/>
    <w:rPr>
      <w:rFonts w:ascii="Times New Roman" w:eastAsia="Times New Roman" w:hAnsi="Times New Roman" w:cs="Times New Roman"/>
      <w:b/>
      <w:bCs/>
      <w:sz w:val="20"/>
      <w:szCs w:val="20"/>
    </w:rPr>
  </w:style>
  <w:style w:type="character" w:styleId="Strong">
    <w:name w:val="Strong"/>
    <w:basedOn w:val="DefaultParagraphFont"/>
    <w:uiPriority w:val="22"/>
    <w:qFormat/>
    <w:rsid w:val="00641906"/>
    <w:rPr>
      <w:b/>
      <w:bCs/>
    </w:rPr>
  </w:style>
</w:styles>
</file>

<file path=word/webSettings.xml><?xml version="1.0" encoding="utf-8"?>
<w:webSettings xmlns:r="http://schemas.openxmlformats.org/officeDocument/2006/relationships" xmlns:w="http://schemas.openxmlformats.org/wordprocessingml/2006/main">
  <w:divs>
    <w:div w:id="475026862">
      <w:bodyDiv w:val="1"/>
      <w:marLeft w:val="0"/>
      <w:marRight w:val="0"/>
      <w:marTop w:val="0"/>
      <w:marBottom w:val="0"/>
      <w:divBdr>
        <w:top w:val="none" w:sz="0" w:space="0" w:color="auto"/>
        <w:left w:val="none" w:sz="0" w:space="0" w:color="auto"/>
        <w:bottom w:val="none" w:sz="0" w:space="0" w:color="auto"/>
        <w:right w:val="none" w:sz="0" w:space="0" w:color="auto"/>
      </w:divBdr>
    </w:div>
    <w:div w:id="829519110">
      <w:bodyDiv w:val="1"/>
      <w:marLeft w:val="0"/>
      <w:marRight w:val="0"/>
      <w:marTop w:val="0"/>
      <w:marBottom w:val="0"/>
      <w:divBdr>
        <w:top w:val="none" w:sz="0" w:space="0" w:color="auto"/>
        <w:left w:val="none" w:sz="0" w:space="0" w:color="auto"/>
        <w:bottom w:val="none" w:sz="0" w:space="0" w:color="auto"/>
        <w:right w:val="none" w:sz="0" w:space="0" w:color="auto"/>
      </w:divBdr>
    </w:div>
    <w:div w:id="1598127977">
      <w:bodyDiv w:val="1"/>
      <w:marLeft w:val="0"/>
      <w:marRight w:val="0"/>
      <w:marTop w:val="0"/>
      <w:marBottom w:val="0"/>
      <w:divBdr>
        <w:top w:val="none" w:sz="0" w:space="0" w:color="auto"/>
        <w:left w:val="none" w:sz="0" w:space="0" w:color="auto"/>
        <w:bottom w:val="none" w:sz="0" w:space="0" w:color="auto"/>
        <w:right w:val="none" w:sz="0" w:space="0" w:color="auto"/>
      </w:divBdr>
    </w:div>
    <w:div w:id="1986624590">
      <w:bodyDiv w:val="1"/>
      <w:marLeft w:val="0"/>
      <w:marRight w:val="0"/>
      <w:marTop w:val="0"/>
      <w:marBottom w:val="0"/>
      <w:divBdr>
        <w:top w:val="none" w:sz="0" w:space="0" w:color="auto"/>
        <w:left w:val="none" w:sz="0" w:space="0" w:color="auto"/>
        <w:bottom w:val="none" w:sz="0" w:space="0" w:color="auto"/>
        <w:right w:val="none" w:sz="0" w:space="0" w:color="auto"/>
      </w:divBdr>
    </w:div>
    <w:div w:id="206367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a/url?url=http://www.torontodiscoverydistrict.ca/Page.asp?IdPage=3947&amp;WebAddress=Discovery&amp;rct=j&amp;frm=1&amp;q=&amp;esrc=s&amp;sa=U&amp;ei=jkG1U5DeNOG78AGYzICwCg&amp;ved=0CBUQ9QEwAA&amp;usg=AFQjCNHdlxrox9D3tUEejtwKkAYQbmnfJQ"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ogle.ca/url?url=http://www.cotainspires.ca/&amp;rct=j&amp;frm=1&amp;q=&amp;esrc=s&amp;sa=U&amp;ei=30G1U_nnDKjH8AGxr4HIDA&amp;ved=0CBkQ9QEwAg&amp;usg=AFQjCNHHwAo2WDU5pWc4CkMi4HIgNI7f_Q"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BB180-EE8D-4C92-B96D-02FF0124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Canadian Mental Health Association</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Deryck</dc:creator>
  <cp:lastModifiedBy>Administrator</cp:lastModifiedBy>
  <cp:revision>2</cp:revision>
  <cp:lastPrinted>2014-02-04T16:44:00Z</cp:lastPrinted>
  <dcterms:created xsi:type="dcterms:W3CDTF">2015-02-13T19:33:00Z</dcterms:created>
  <dcterms:modified xsi:type="dcterms:W3CDTF">2015-02-13T19:33:00Z</dcterms:modified>
</cp:coreProperties>
</file>